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4a5368c94724aa1" /></Relationships>
</file>

<file path=word/document.xml><?xml version="1.0" encoding="utf-8"?>
<w:document xmlns:w="http://schemas.openxmlformats.org/wordprocessingml/2006/main">
  <w:body>
    <w:sectPr>
      <w:pgSz w:w="11906" w:h="16838" w:orient="portrait"/>
      <w:pgMar w:top="1440" w:right="1440" w:bottom="1440" w:left="1440"/>
    </w:sectPr>
    <w:p>
      <w:pPr>
        <w:spacing w:before="0" w:line="210" w:lineRule="atLeast"/>
        <w:ind w:left="0" w:right="0"/>
      </w:pPr>
      <w:r>
        <w:rPr>
          <w:rFonts w:ascii="Verdana" w:hAnsi="Verdana" w:eastAsia="Verdana" w:cs="Verdana"/>
          <w:color w:val="000000"/>
          <w:sz w:val="22"/>
        </w:rPr>
        <w:t xml:space="preserve">Преузето са </w:t>
      </w:r>
      <w:hyperlink xmlns:r="http://schemas.openxmlformats.org/officeDocument/2006/relationships" w:history="true" r:id="R203a897124e647a9">
        <w:r>
          <w:rPr>
            <w:rStyle w:val="Hyperlink"/>
            <w:rFonts w:ascii="Verdana" w:hAnsi="Verdana" w:eastAsia="Verdana" w:cs="Verdana"/>
            <w:color w:val="337ab7"/>
            <w:sz w:val="22"/>
          </w:rPr>
          <w:t xml:space="preserve">https://pravno-informacioni-sistem.rs</w:t>
        </w:r>
      </w:hyperlink>
    </w:p>
    <w:p>
      <w:pPr>
        <w:spacing w:before="0" w:line="210" w:lineRule="atLeast"/>
        <w:ind w:left="0" w:right="0"/>
      </w:pPr>
      <w:r>
        <w:rPr>
          <w:rFonts w:ascii="Verdana" w:hAnsi="Verdana" w:eastAsia="Verdana" w:cs="Verdana"/>
          <w:color w:val="000000"/>
          <w:sz w:val="22"/>
        </w:rPr>
        <w:t xml:space="preserve">Службени гласник РС 105/2026, Датум: 30.10.2026.</w:t>
      </w:r>
    </w:p>
    <w:p>
      <w:pPr>
        <w:spacing w:before="0" w:line="210" w:lineRule="atLeast"/>
        <w:ind w:left="0" w:right="0"/>
        <w:jc w:val="center"/>
      </w:pPr>
      <w:r>
        <w:rPr>
          <w:rFonts w:ascii="Verdana" w:hAnsi="Verdana" w:eastAsia="Verdana" w:cs="Verdana"/>
          <w:b/>
          <w:sz w:val="22"/>
        </w:rPr>
        <w:t xml:space="preserve">4322</w:t>
      </w:r>
    </w:p>
    <w:p>
      <w:pPr>
        <w:spacing w:before="0" w:line="210" w:lineRule="atLeast"/>
        <w:ind w:left="0" w:right="0"/>
      </w:pPr>
      <w:r>
        <w:rPr>
          <w:rFonts w:ascii="Verdana" w:hAnsi="Verdana" w:eastAsia="Verdana" w:cs="Verdana"/>
          <w:sz w:val="22"/>
        </w:rPr>
        <w:t xml:space="preserve">На основу одредаба чл. 6. и 9. Закона о спречавању корупције („Службени гласник РС”, бр. 35/18, 88/19, 11/21 – аутентично тумачење, 94/21, 14/22 и 80/26) у поступку за одлучивање о постојању повреде Закона о спречавању корупције који се води против Бојана Николића из Прћиловице, </w:t>
      </w:r>
    </w:p>
    <w:p>
      <w:pPr>
        <w:spacing w:before="0" w:line="210" w:lineRule="atLeast"/>
        <w:ind w:left="0" w:right="0"/>
      </w:pPr>
      <w:r>
        <w:rPr>
          <w:rFonts w:ascii="Verdana" w:hAnsi="Verdana" w:eastAsia="Verdana" w:cs="Verdana"/>
          <w:sz w:val="22"/>
        </w:rPr>
        <w:t xml:space="preserve">Директор Агенције за спречавање корупције 23. септембра 2026. године доноси</w:t>
      </w:r>
    </w:p>
    <w:p>
      <w:pPr>
        <w:spacing w:before="0" w:line="210" w:lineRule="atLeast"/>
        <w:ind w:left="0" w:right="0"/>
        <w:jc w:val="center"/>
      </w:pPr>
      <w:r>
        <w:rPr>
          <w:rFonts w:ascii="Verdana" w:hAnsi="Verdana" w:eastAsia="Verdana" w:cs="Verdana"/>
          <w:b/>
          <w:sz w:val="22"/>
        </w:rPr>
        <w:t xml:space="preserve">РЕШЕЊЕ</w:t>
      </w:r>
    </w:p>
    <w:p>
      <w:pPr>
        <w:spacing w:before="0" w:line="210" w:lineRule="atLeast"/>
        <w:ind w:left="0" w:right="0"/>
      </w:pPr>
      <w:r>
        <w:rPr>
          <w:rFonts w:ascii="Verdana" w:hAnsi="Verdana" w:eastAsia="Verdana" w:cs="Verdana"/>
          <w:sz w:val="22"/>
        </w:rPr>
        <w:t xml:space="preserve">I. Утврђује се да је Бојан Николић, помоћник председника општине Алексинац, поступио супротно одредбама члана 50. став 12. Закона о спречавању корупције, на тај начин што је током радног времена општине Алексинац, 18. септембра 2026. године присуствовао на страначком штанду Српске напредне странке на пијаци у Тешици и учествовао у страначкој активности, па му се, на основу одредбе члана 82. став 1. Закона о спречавању корупције, изриче </w:t>
      </w:r>
    </w:p>
    <w:p>
      <w:pPr>
        <w:spacing w:before="0" w:line="210" w:lineRule="atLeast"/>
        <w:ind w:left="0" w:right="0"/>
      </w:pPr>
      <w:r>
        <w:rPr>
          <w:rFonts w:ascii="Verdana" w:hAnsi="Verdana" w:eastAsia="Verdana" w:cs="Verdana"/>
          <w:sz w:val="22"/>
        </w:rPr>
        <w:t xml:space="preserve">МЕРА ОПОМЕНЕ.</w:t>
      </w:r>
    </w:p>
    <w:p>
      <w:pPr>
        <w:spacing w:before="0" w:line="210" w:lineRule="atLeast"/>
        <w:ind w:left="0" w:right="0"/>
      </w:pPr>
      <w:r>
        <w:rPr>
          <w:rFonts w:ascii="Verdana" w:hAnsi="Verdana" w:eastAsia="Verdana" w:cs="Verdana"/>
          <w:sz w:val="22"/>
        </w:rPr>
        <w:t xml:space="preserve">II. Обавезује се Бојан Николић да се убудуће у свему придржава Закона о спречавању корупције.</w:t>
      </w:r>
    </w:p>
    <w:p>
      <w:pPr>
        <w:spacing w:before="0" w:line="210" w:lineRule="atLeast"/>
        <w:ind w:left="0" w:right="0"/>
        <w:jc w:val="center"/>
      </w:pPr>
      <w:r>
        <w:rPr>
          <w:rFonts w:ascii="Verdana" w:hAnsi="Verdana" w:eastAsia="Verdana" w:cs="Verdana"/>
          <w:b/>
          <w:sz w:val="22"/>
        </w:rPr>
        <w:t xml:space="preserve">Образложење</w:t>
      </w:r>
    </w:p>
    <w:p>
      <w:pPr>
        <w:spacing w:before="0" w:line="210" w:lineRule="atLeast"/>
        <w:ind w:left="0" w:right="0"/>
      </w:pPr>
      <w:r>
        <w:rPr>
          <w:rFonts w:ascii="Verdana" w:hAnsi="Verdana" w:eastAsia="Verdana" w:cs="Verdana"/>
          <w:sz w:val="22"/>
        </w:rPr>
        <w:t xml:space="preserve">Против Бојана Николића, помоћника председника општине Алексинац, покренут је, на основу пријаве, поступак за одлучивање о постојању повреде одредаба члана 50. ст. 4. и 12. Закона о спречавању корупције (у даљем тексту: Закон), јер је дана 18. септембра 2026. године присуствовао на страначком штанду Српске напредне странке, на пијаци у Тешици и учествовао у страначкој активности, којом приликом је за долазак и присуство на станачком штанду користио службено возило, и друге јавне ресурсе општине Алексинац, укључујући гориво, службену опрему, средства, инветар или радно време запослених и зато што је као помоћник председника општине Алексинац током радног времена овог органа власти, односно општине Алексинац присуствовао на страначком штанду Српске напредне странке.</w:t>
      </w:r>
    </w:p>
    <w:p>
      <w:pPr>
        <w:spacing w:before="0" w:line="210" w:lineRule="atLeast"/>
        <w:ind w:left="0" w:right="0"/>
      </w:pPr>
      <w:r>
        <w:rPr>
          <w:rFonts w:ascii="Verdana" w:hAnsi="Verdana" w:eastAsia="Verdana" w:cs="Verdana"/>
          <w:sz w:val="22"/>
        </w:rPr>
        <w:t xml:space="preserve">С обзиром на чињеницу да је одредбом члана 50. став 17. Закона прописано да, у току изборне кампање, у поступку из члана 78. ст. 1. и 2. овог закона, у коме одлучује да ли постоји повреда из ст. 1, 3, 4, 6, 7, 12, 13 и 15. тог члана, Агенција одлучује у року од пет дана од дана покретања поступка по службеној дужности, односно од дана пријема пријаве правног или физичког лица, Агенција је, у складу са одредбама члана 106. Закона о општем управном поступку („Службени гласник РС”, бр. 18/16, 95/18 – аутентично тумачење и 2/23 – УС) у вези са чланом 7. Закона, електронским путем позвала Бојана Николића да се писмено изјасни на наводе из пријаве, како би се именованом пружила прилика да се изјасни о чињеницама које су од значаја за одлучивање у овој правној ствари. </w:t>
      </w:r>
    </w:p>
    <w:p>
      <w:pPr>
        <w:spacing w:before="0" w:line="210" w:lineRule="atLeast"/>
        <w:ind w:left="0" w:right="0"/>
      </w:pPr>
      <w:r>
        <w:rPr>
          <w:rFonts w:ascii="Verdana" w:hAnsi="Verdana" w:eastAsia="Verdana" w:cs="Verdana"/>
          <w:sz w:val="22"/>
        </w:rPr>
        <w:t xml:space="preserve">Према члана 4а Закона „јавни ресурс” је непокретност, покретна ствар и свако друго добро којe је у јавној својини, односно у другом облику својине којe користе органи Републике Србије, аутономне покрајине, јединице локалне самоуправе, јавна предузећа, привредна друштва, установе и друге организације чији је оснивач, односно члан Република Србија, аутономна покрајина или јединица локалне самоуправе.</w:t>
      </w:r>
    </w:p>
    <w:p>
      <w:pPr>
        <w:spacing w:before="0" w:line="210" w:lineRule="atLeast"/>
        <w:ind w:left="0" w:right="0"/>
      </w:pPr>
      <w:r>
        <w:rPr>
          <w:rFonts w:ascii="Verdana" w:hAnsi="Verdana" w:eastAsia="Verdana" w:cs="Verdana"/>
          <w:sz w:val="22"/>
        </w:rPr>
        <w:t xml:space="preserve">Одредбом члана 50. став 4. Закона прописано је да јавни функционер не може да користи јавне ресурсе за промоцију политичких странака, односно политичких субјеката, њихових изборних листа и кандидата на изборима, под чиме се посебно подразумева коришћење јавних ресурса у сврху јавног представљања учесника у изборима и њихових изборних програма, позивања бирача да за њих гласају на изборима, oдносно да бојкотују изборе, као и коришћење јавних ресурса за друге видове политичких активности, као што су рад са бирачима и чланством, организовање и одржавање скупова и промоција, израда и подела рекламног материјала, брошура, лифлета и публикација, политичко оглашавање, истраживање јавног мњења, медијске, маркетиншке и консултантске услуге и спровођење обука за страначке активности.</w:t>
      </w:r>
    </w:p>
    <w:p>
      <w:pPr>
        <w:spacing w:before="0" w:line="210" w:lineRule="atLeast"/>
        <w:ind w:left="0" w:right="0"/>
      </w:pPr>
      <w:r>
        <w:rPr>
          <w:rFonts w:ascii="Verdana" w:hAnsi="Verdana" w:eastAsia="Verdana" w:cs="Verdana"/>
          <w:sz w:val="22"/>
        </w:rPr>
        <w:t xml:space="preserve">Одредбом члана 50. став 12. Закона прописано је да у току изборне кампање, јавни функционер не може током радног времена органа јавне власти у којем обавља јавну функцију да учествује у активностима политичке странке, односно политичког субјекта, нити може сам да спроводи страначку активност. Ова забрана се на народне посланике, посланике у скупштини аутономне покрајине и одборнике у скупштини јединице локалне самоуправе односи само у време одржавања седнице Народне скупштине, односно скупштине аутономне покрајине или јединице локалне самоуправе, као и седнице њихових радних тела чији су чланови.</w:t>
      </w:r>
    </w:p>
    <w:p>
      <w:pPr>
        <w:spacing w:before="0" w:line="210" w:lineRule="atLeast"/>
        <w:ind w:left="0" w:right="0"/>
      </w:pPr>
      <w:r>
        <w:rPr>
          <w:rFonts w:ascii="Verdana" w:hAnsi="Verdana" w:eastAsia="Verdana" w:cs="Verdana"/>
          <w:sz w:val="22"/>
        </w:rPr>
        <w:t xml:space="preserve">Имајући у виду наведено, Агенција је утврдила да је Бојан Николић, помоћник председника општине Алексинац, поступио супротно одредби члана 50. став 12. Закона, на тај начин што је као помоћник председника наведене општине, током радног времена овог органа јавне власти, односно општине Алексинац дана 18. септембра 2026. године присуствовао на страначком штанду Српске напредне странке на пијаци у Тешици и учествовао у страначкој активности.</w:t>
      </w:r>
    </w:p>
    <w:p>
      <w:pPr>
        <w:spacing w:before="0" w:line="210" w:lineRule="atLeast"/>
        <w:ind w:left="0" w:right="0"/>
      </w:pPr>
      <w:r>
        <w:rPr>
          <w:rFonts w:ascii="Verdana" w:hAnsi="Verdana" w:eastAsia="Verdana" w:cs="Verdana"/>
          <w:sz w:val="22"/>
        </w:rPr>
        <w:t xml:space="preserve">Приликом одлучивања о врсти мере коју треба изрећи у конкретном случају оцењено је да је именовани на описани начин лакше повредио Закон, па му је изречена мера опомене, као мера којом се, по оцени Агенције, у овом случају испуњава сврха Закона, и којом се може превентивно деловати на јавног функционера да се убудуће придржава одредаба Закона.</w:t>
      </w:r>
    </w:p>
    <w:p>
      <w:pPr>
        <w:spacing w:before="0" w:line="210" w:lineRule="atLeast"/>
        <w:ind w:left="0" w:right="0"/>
      </w:pPr>
      <w:r>
        <w:rPr>
          <w:rFonts w:ascii="Verdana" w:hAnsi="Verdana" w:eastAsia="Verdana" w:cs="Verdana"/>
          <w:sz w:val="22"/>
        </w:rPr>
        <w:t xml:space="preserve">На основу наведеног, одлучено је као у диспозитиву овог решења применом одредаба члана 83. став 1. Закона и члана 136. став 1. Закона о општем управном поступку („Службени гласник РС”, бр. 18/16, 95/18 – аутентично тумачење и 2/23 – одлука УС) у вези с чланом 7. Закона.</w:t>
      </w:r>
    </w:p>
    <w:p>
      <w:pPr>
        <w:spacing w:before="0" w:line="210" w:lineRule="atLeast"/>
        <w:ind w:left="0" w:right="0"/>
        <w:jc w:val="right"/>
      </w:pPr>
      <w:r>
        <w:rPr>
          <w:rFonts w:ascii="Verdana" w:hAnsi="Verdana" w:eastAsia="Verdana" w:cs="Verdana"/>
          <w:sz w:val="22"/>
        </w:rPr>
        <w:t xml:space="preserve">Број 014-070-00-0507/26-11</w:t>
      </w:r>
    </w:p>
    <w:p>
      <w:pPr>
        <w:spacing w:before="0" w:line="210" w:lineRule="atLeast"/>
        <w:ind w:left="0" w:right="0"/>
        <w:jc w:val="right"/>
      </w:pPr>
      <w:r>
        <w:rPr>
          <w:rFonts w:ascii="Verdana" w:hAnsi="Verdana" w:eastAsia="Verdana" w:cs="Verdana"/>
          <w:sz w:val="22"/>
        </w:rPr>
        <w:t xml:space="preserve">Директор,</w:t>
      </w:r>
    </w:p>
    <w:p>
      <w:pPr>
        <w:spacing w:before="0" w:line="210" w:lineRule="atLeast"/>
        <w:ind w:left="0" w:right="0"/>
        <w:jc w:val="right"/>
      </w:pPr>
      <w:r>
        <w:rPr>
          <w:rFonts w:ascii="Verdana" w:hAnsi="Verdana" w:eastAsia="Verdana" w:cs="Verdana"/>
          <w:b/>
          <w:sz w:val="22"/>
        </w:rPr>
        <w:t xml:space="preserve">Дејан Дамњановић, </w:t>
      </w:r>
      <w:r>
        <w:rPr>
          <w:rFonts w:ascii="Verdana" w:hAnsi="Verdana" w:eastAsia="Verdana" w:cs="Verdana"/>
          <w:sz w:val="22"/>
        </w:rPr>
        <w:t xml:space="preserve">с.р.</w:t>
      </w:r>
    </w:p>
  </w:body>
</w:document>
</file>

<file path=word/_rels/document.xml.rels>&#65279;<?xml version="1.0" encoding="utf-8"?><Relationships xmlns="http://schemas.openxmlformats.org/package/2006/relationships"><Relationship Type="http://schemas.openxmlformats.org/officeDocument/2006/relationships/hyperlink" Target="https://pravno-informacioni-sistem.rs" TargetMode="External" Id="R203a897124e647a9" /></Relationships>
</file>